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BC9E" w14:textId="77777777" w:rsidR="00480709" w:rsidRDefault="00000000">
      <w:pPr>
        <w:spacing w:line="360" w:lineRule="auto"/>
        <w:jc w:val="center"/>
        <w:rPr>
          <w:rFonts w:asciiTheme="majorEastAsia" w:eastAsiaTheme="majorEastAsia" w:hAnsiTheme="majorEastAsia" w:hint="eastAsia"/>
          <w:b/>
          <w:sz w:val="44"/>
          <w:szCs w:val="44"/>
        </w:rPr>
      </w:pPr>
      <w:r>
        <w:rPr>
          <w:rFonts w:ascii="方正小标宋简体" w:eastAsia="方正小标宋简体" w:hAnsi="方正小标宋简体" w:cs="方正小标宋简体" w:hint="eastAsia"/>
          <w:bCs/>
          <w:sz w:val="44"/>
          <w:szCs w:val="44"/>
        </w:rPr>
        <w:t>广东园林学会科学技术奖奖励章程</w:t>
      </w:r>
    </w:p>
    <w:p w14:paraId="5662C8AC" w14:textId="77777777" w:rsidR="00480709" w:rsidRDefault="00480709">
      <w:pPr>
        <w:spacing w:line="360" w:lineRule="auto"/>
        <w:jc w:val="center"/>
        <w:rPr>
          <w:rFonts w:asciiTheme="majorEastAsia" w:eastAsiaTheme="majorEastAsia" w:hAnsiTheme="majorEastAsia" w:hint="eastAsia"/>
          <w:b/>
          <w:sz w:val="44"/>
          <w:szCs w:val="44"/>
        </w:rPr>
      </w:pPr>
    </w:p>
    <w:p w14:paraId="26B94F12" w14:textId="77777777" w:rsidR="00480709" w:rsidRDefault="00000000">
      <w:pPr>
        <w:spacing w:line="360" w:lineRule="auto"/>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第一章  总则</w:t>
      </w:r>
    </w:p>
    <w:p w14:paraId="2E1B1E30"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为提高广东风景园林行业的整体科技水平，提高科技创新能力，加快科技成果转化，鼓励风景园林企事业单位以及社会各界对风景园林领域的科技投入，充分调动广大科技人员的积极性和创造性，提高规划设计、工程施工、科学研究和教育水平，推动广东风景园林行业健康发展。广东园林学会特设立“广东园林学会科学技术奖”。为做好评奖工作，特制定本章程。</w:t>
      </w:r>
    </w:p>
    <w:p w14:paraId="6161D733"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 xml:space="preserve">第二条 </w:t>
      </w:r>
      <w:r>
        <w:rPr>
          <w:rFonts w:ascii="仿宋_GB2312" w:eastAsia="仿宋_GB2312" w:hAnsi="仿宋_GB2312" w:cs="仿宋_GB2312" w:hint="eastAsia"/>
          <w:sz w:val="32"/>
          <w:szCs w:val="32"/>
        </w:rPr>
        <w:t>广东园林学会科学技术奖由广东园林学会主办，奖励</w:t>
      </w:r>
      <w:bookmarkStart w:id="0" w:name="_Hlk106355231"/>
      <w:r>
        <w:rPr>
          <w:rFonts w:ascii="仿宋_GB2312" w:eastAsia="仿宋_GB2312" w:hAnsi="仿宋_GB2312" w:cs="仿宋_GB2312" w:hint="eastAsia"/>
          <w:sz w:val="32"/>
          <w:szCs w:val="32"/>
        </w:rPr>
        <w:t>在广东风景园林学科领域促进科技进步、科技创新和科技推广工作中做出突出贡献的单位和个人。</w:t>
      </w:r>
    </w:p>
    <w:bookmarkEnd w:id="0"/>
    <w:p w14:paraId="0189AF79"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 xml:space="preserve">第三条 </w:t>
      </w:r>
      <w:r>
        <w:rPr>
          <w:rFonts w:ascii="仿宋_GB2312" w:eastAsia="仿宋_GB2312" w:hAnsi="仿宋_GB2312" w:cs="仿宋_GB2312" w:hint="eastAsia"/>
          <w:sz w:val="32"/>
          <w:szCs w:val="32"/>
        </w:rPr>
        <w:t>广东园林学会科学技术奖设置两大类奖项：项目类奖项和人物类称号。</w:t>
      </w:r>
      <w:bookmarkStart w:id="1" w:name="_Hlk106355395"/>
      <w:r>
        <w:rPr>
          <w:rFonts w:ascii="仿宋_GB2312" w:eastAsia="仿宋_GB2312" w:hAnsi="仿宋_GB2312" w:cs="仿宋_GB2312" w:hint="eastAsia"/>
          <w:sz w:val="32"/>
          <w:szCs w:val="32"/>
        </w:rPr>
        <w:t>其中，项目类奖项分为广东风景园林科技进步奖、广东风景园林规划设计奖、广东风景园林工程技术奖、广东风景园林教学成果奖、岭南名园奖；人物类称号分为广东风景园林终身成就奖、广东风景园林设计大师、广东风景园林教育名师、广东风景园林营造名匠、广东风景园林杰出青年。</w:t>
      </w:r>
    </w:p>
    <w:bookmarkEnd w:id="1"/>
    <w:p w14:paraId="1A1D76AC"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（一）项目类奖项：</w:t>
      </w:r>
    </w:p>
    <w:p w14:paraId="775E636C" w14:textId="78F7720C"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（1）广东风景园林科技进步奖的奖励对象为在广东风</w:t>
      </w:r>
      <w:r>
        <w:rPr>
          <w:rFonts w:ascii="仿宋_GB2312" w:eastAsia="仿宋_GB2312" w:hAnsi="仿宋_GB2312" w:cs="仿宋_GB2312" w:hint="eastAsia"/>
          <w:sz w:val="32"/>
          <w:szCs w:val="32"/>
        </w:rPr>
        <w:lastRenderedPageBreak/>
        <w:t>景园林领域的科学研究、技术开发、推广应用活动中取得的，具有创新性和特定的理论或实用价值，产生显著的经济、社会和生态效益的科技成果，包括新技术、新工艺、新材料、新产品、发明专利、研究报告、技术标准、图书等。</w:t>
      </w:r>
    </w:p>
    <w:p w14:paraId="7B1921C0"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广东风景园林规划设计奖的奖励对象为在广东风景园林领域规划设计实践中取得具有创新性规划设计理论、技术和方法，对行业发展具有引领作用的成果，实施后具有显著的经济、社会和生态效益的杰出规划设计项目。</w:t>
      </w:r>
    </w:p>
    <w:p w14:paraId="0E30C08F"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广东风景园林工程技术奖的奖励对象为在广东风景园林领域具有代表性的，在新材料、新技术、新工艺推广应用，园林施工理论研究等方面取得重大突破，工程质量优秀且具有显著生态、社会、经济效益的园林绿化和园林古建（含仿建、修缮）工程项目。</w:t>
      </w:r>
    </w:p>
    <w:p w14:paraId="7F57E086"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广东风景园林教学成果奖的奖励对象为对广东省风景园林教育教学改革实践有重大示范作用，对提高教学水平和教育质量、实现培养目标产生重大成效，在全国或省内产生较大影响的教育教学改革、实践教学改革、人才培养模式和综合研究项目成果。</w:t>
      </w:r>
    </w:p>
    <w:p w14:paraId="694D65D2"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（5）岭南名园奖的奖励对象为具有显著时代和地域特征，广泛社会影响力和重要生态价值，具备成为优秀历史园林遗产潜力，且景观面貌保持完好的风景园林作品。</w:t>
      </w:r>
    </w:p>
    <w:p w14:paraId="59480DEB"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（二）人物类称号</w:t>
      </w:r>
    </w:p>
    <w:p w14:paraId="3C4AC80A"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（1）广东风景园林终身成就奖的奖励对象为长期为推进广东风景园林事业发展和科研、教学和实践工作做出杰出贡献的风景园林工作者。</w:t>
      </w:r>
    </w:p>
    <w:p w14:paraId="1BE8EF0B"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bookmarkStart w:id="2" w:name="OLE_LINK2"/>
      <w:r>
        <w:rPr>
          <w:rFonts w:ascii="仿宋_GB2312" w:eastAsia="仿宋_GB2312" w:hAnsi="仿宋_GB2312" w:cs="仿宋_GB2312" w:hint="eastAsia"/>
          <w:sz w:val="32"/>
          <w:szCs w:val="32"/>
        </w:rPr>
        <w:t>“广东风景园林设计大师”的授予对象为具有深厚专业理论功底和丰富实践经验，在风景园林领域取得卓著成绩，在省内外享有较高声誉的风景园林工作者。</w:t>
      </w:r>
    </w:p>
    <w:bookmarkEnd w:id="2"/>
    <w:p w14:paraId="52273071"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（3）“广东风景园林教育名师”的授予对象为长期从事风景园林教育工作，注重教学改革与实践，教学水平高，教学效果好，获得了高水平教学成果的风景园林教育工作者。</w:t>
      </w:r>
    </w:p>
    <w:p w14:paraId="447A48C6"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广东风景园林营造名匠”的授予对象为从事风景园林工程中建筑（含假山叠石、水景）、园艺（含树艺、花艺、盆景、绿化养护）等工作中，践行工匠精神，业绩突出，具有较高知名度和影响力以及丰富实践经验的优秀专业技术人才。</w:t>
      </w:r>
    </w:p>
    <w:p w14:paraId="2246B916"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广东风景园林杰出青年”的授予对象为具有较强的研究、教学和实践创新能力，具有跟踪专业科技发展前沿水平的能力，在省内外具有一定影响力，业绩突出，能够独立主持和管理重大项目的优秀青年风景园林人才。</w:t>
      </w:r>
    </w:p>
    <w:p w14:paraId="0E373CB7" w14:textId="77777777" w:rsidR="00480709" w:rsidRDefault="00000000">
      <w:pPr>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广东园林学会科学技术奖定期评审，为公益性质的科技活动，评审费用由主办单位自筹，不使用财政资</w:t>
      </w:r>
      <w:r>
        <w:rPr>
          <w:rFonts w:ascii="仿宋_GB2312" w:eastAsia="仿宋_GB2312" w:hAnsi="仿宋_GB2312" w:cs="仿宋_GB2312" w:hint="eastAsia"/>
          <w:sz w:val="32"/>
          <w:szCs w:val="32"/>
        </w:rPr>
        <w:lastRenderedPageBreak/>
        <w:t>金，不向申报者收取任何评审费用。</w:t>
      </w:r>
    </w:p>
    <w:p w14:paraId="7820E309" w14:textId="77777777" w:rsidR="00480709" w:rsidRDefault="00480709">
      <w:pPr>
        <w:ind w:firstLineChars="200" w:firstLine="640"/>
        <w:rPr>
          <w:rFonts w:ascii="仿宋_GB2312" w:eastAsia="仿宋_GB2312" w:hAnsi="仿宋_GB2312" w:cs="仿宋_GB2312" w:hint="eastAsia"/>
          <w:sz w:val="32"/>
          <w:szCs w:val="32"/>
        </w:rPr>
      </w:pPr>
    </w:p>
    <w:p w14:paraId="20B2D711" w14:textId="77777777" w:rsidR="00480709" w:rsidRDefault="00000000">
      <w:pPr>
        <w:spacing w:line="360" w:lineRule="auto"/>
        <w:ind w:firstLineChars="200" w:firstLine="643"/>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第二章  管理与评审组织</w:t>
      </w:r>
    </w:p>
    <w:p w14:paraId="07F17854"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第五条</w:t>
      </w:r>
      <w:bookmarkStart w:id="3" w:name="_Hlk79839498"/>
      <w:r>
        <w:rPr>
          <w:rFonts w:ascii="仿宋_GB2312" w:eastAsia="仿宋_GB2312" w:hAnsi="仿宋_GB2312" w:cs="仿宋_GB2312" w:hint="eastAsia"/>
          <w:b/>
          <w:bCs/>
          <w:sz w:val="32"/>
          <w:szCs w:val="32"/>
        </w:rPr>
        <w:t xml:space="preserve"> </w:t>
      </w:r>
      <w:bookmarkStart w:id="4" w:name="_Hlk87610854"/>
      <w:r>
        <w:rPr>
          <w:rFonts w:ascii="仿宋_GB2312" w:eastAsia="仿宋_GB2312" w:hAnsi="仿宋_GB2312" w:cs="仿宋_GB2312" w:hint="eastAsia"/>
          <w:sz w:val="32"/>
          <w:szCs w:val="32"/>
        </w:rPr>
        <w:t>广东园林学会科学技术奖评审委员会</w:t>
      </w:r>
      <w:bookmarkEnd w:id="4"/>
      <w:r>
        <w:rPr>
          <w:rFonts w:ascii="仿宋_GB2312" w:eastAsia="仿宋_GB2312" w:hAnsi="仿宋_GB2312" w:cs="仿宋_GB2312" w:hint="eastAsia"/>
          <w:sz w:val="32"/>
          <w:szCs w:val="32"/>
        </w:rPr>
        <w:t>负责最终审定科学技术奖的评审结果。</w:t>
      </w:r>
      <w:bookmarkEnd w:id="3"/>
    </w:p>
    <w:p w14:paraId="55A1D720"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hint="eastAsia"/>
          <w:sz w:val="32"/>
          <w:szCs w:val="32"/>
        </w:rPr>
        <w:t xml:space="preserve"> 广东园林学会科学技术奖评审委员会由学会负责人、业界专家、理事单位代表等组成。科学技术奖评审委员会成员产生须经广东园林学会常务理事会批准，任期与常务理事会任期相同。</w:t>
      </w:r>
    </w:p>
    <w:p w14:paraId="3CC6D1B3"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hint="eastAsia"/>
          <w:sz w:val="32"/>
          <w:szCs w:val="32"/>
        </w:rPr>
        <w:t xml:space="preserve"> 评审工作按子奖项分别组织。具体评审时，评审委员会可视奖项申报情况，设置专业组进行。各子奖项评审专家组由评审委员会确定，专家组人员不少于7人，并经评审委员会批准。 </w:t>
      </w:r>
    </w:p>
    <w:p w14:paraId="32678929"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第八条</w:t>
      </w:r>
      <w:r>
        <w:rPr>
          <w:rFonts w:ascii="仿宋_GB2312" w:eastAsia="仿宋_GB2312" w:hAnsi="仿宋_GB2312" w:cs="仿宋_GB2312" w:hint="eastAsia"/>
          <w:sz w:val="32"/>
          <w:szCs w:val="32"/>
        </w:rPr>
        <w:t xml:space="preserve"> 广东园林学会科学技术奖评审委员会下设办公室，设在广东园林学会秘书处，负责处理日常事务并协调各子奖项评审工作。各子奖项工作组对申报的奖项材料进行资格审查、分类及组织评审等。</w:t>
      </w:r>
    </w:p>
    <w:p w14:paraId="4905A829" w14:textId="77777777" w:rsidR="00480709" w:rsidRDefault="00480709">
      <w:pPr>
        <w:spacing w:line="360" w:lineRule="auto"/>
        <w:ind w:firstLineChars="200" w:firstLine="640"/>
        <w:rPr>
          <w:rFonts w:ascii="仿宋_GB2312" w:eastAsia="仿宋_GB2312" w:hAnsi="仿宋_GB2312" w:cs="仿宋_GB2312" w:hint="eastAsia"/>
          <w:sz w:val="32"/>
          <w:szCs w:val="32"/>
        </w:rPr>
      </w:pPr>
    </w:p>
    <w:p w14:paraId="7911048F" w14:textId="77777777" w:rsidR="00480709" w:rsidRDefault="00000000">
      <w:pPr>
        <w:numPr>
          <w:ilvl w:val="0"/>
          <w:numId w:val="1"/>
        </w:numPr>
        <w:spacing w:line="360" w:lineRule="auto"/>
        <w:ind w:firstLineChars="200" w:firstLine="643"/>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参评条件和标准</w:t>
      </w:r>
    </w:p>
    <w:p w14:paraId="1CE8CFB9"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第九条 参评条件</w:t>
      </w:r>
      <w:r>
        <w:rPr>
          <w:rFonts w:ascii="仿宋_GB2312" w:eastAsia="仿宋_GB2312" w:hAnsi="仿宋_GB2312" w:cs="仿宋_GB2312" w:hint="eastAsia"/>
          <w:sz w:val="32"/>
          <w:szCs w:val="32"/>
        </w:rPr>
        <w:t xml:space="preserve"> 参评广东园林学会科学技术奖需满足以下2个条件之一：</w:t>
      </w:r>
    </w:p>
    <w:p w14:paraId="2A75A3BB"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（1）参评主体须为广东省内合法登记的风景园林行业</w:t>
      </w:r>
      <w:r>
        <w:rPr>
          <w:rFonts w:ascii="仿宋_GB2312" w:eastAsia="仿宋_GB2312" w:hAnsi="仿宋_GB2312" w:cs="仿宋_GB2312" w:hint="eastAsia"/>
          <w:sz w:val="32"/>
          <w:szCs w:val="32"/>
        </w:rPr>
        <w:lastRenderedPageBreak/>
        <w:t>的企事业单位，以及隶属于上述单位的风景园林工作者。</w:t>
      </w:r>
    </w:p>
    <w:p w14:paraId="7E170742"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（2）参评项目位于广东省域之内。</w:t>
      </w:r>
    </w:p>
    <w:p w14:paraId="547E765F"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已获得国家或省级科技奖励或国际、国家级学会（协会）奖励的项目不再申报；已获得国家级学会（协会）人物类称号的个人不再申报。</w:t>
      </w:r>
    </w:p>
    <w:p w14:paraId="128FFD0C" w14:textId="77777777" w:rsidR="00480709" w:rsidRDefault="00000000">
      <w:pPr>
        <w:spacing w:line="360" w:lineRule="auto"/>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 xml:space="preserve">第十条 </w:t>
      </w:r>
      <w:bookmarkStart w:id="5" w:name="_Hlk81752886"/>
      <w:r>
        <w:rPr>
          <w:rFonts w:ascii="仿宋_GB2312" w:eastAsia="仿宋_GB2312" w:hAnsi="仿宋_GB2312" w:cs="仿宋_GB2312" w:hint="eastAsia"/>
          <w:b/>
          <w:bCs/>
          <w:sz w:val="32"/>
          <w:szCs w:val="32"/>
        </w:rPr>
        <w:t xml:space="preserve">参评标准 </w:t>
      </w:r>
      <w:r>
        <w:rPr>
          <w:rFonts w:ascii="仿宋_GB2312" w:eastAsia="仿宋_GB2312" w:hAnsi="仿宋_GB2312" w:cs="仿宋_GB2312" w:hint="eastAsia"/>
          <w:sz w:val="32"/>
          <w:szCs w:val="32"/>
        </w:rPr>
        <w:t>广东园林学会科学技术奖参评条件具体要求如下：</w:t>
      </w:r>
    </w:p>
    <w:p w14:paraId="38EB635E"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（一）项目类奖项</w:t>
      </w:r>
    </w:p>
    <w:p w14:paraId="394FD4DB"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1、广东风景园林科技进步奖</w:t>
      </w:r>
    </w:p>
    <w:p w14:paraId="46A5A8E1"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（1）具有技术创新性，能解决行业发展中的热点、难点和关键问题，对行业发展产生积极影响，总体技术水平达到省内风景园林行业领先水平； </w:t>
      </w:r>
    </w:p>
    <w:p w14:paraId="5C4C98FA" w14:textId="11B3447C"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（2）研究开发的技术成果（新技术、新工艺、新材料、新产品、专利）、技术标准</w:t>
      </w:r>
      <w:r w:rsidR="00E63F9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图书</w:t>
      </w:r>
      <w:r w:rsidR="00E63F97">
        <w:rPr>
          <w:rFonts w:ascii="仿宋_GB2312" w:eastAsia="仿宋_GB2312" w:hAnsi="仿宋_GB2312" w:cs="仿宋_GB2312" w:hint="eastAsia"/>
          <w:sz w:val="32"/>
          <w:szCs w:val="32"/>
        </w:rPr>
        <w:t>和科普作品</w:t>
      </w:r>
      <w:r>
        <w:rPr>
          <w:rFonts w:ascii="仿宋_GB2312" w:eastAsia="仿宋_GB2312" w:hAnsi="仿宋_GB2312" w:cs="仿宋_GB2312" w:hint="eastAsia"/>
          <w:sz w:val="32"/>
          <w:szCs w:val="32"/>
        </w:rPr>
        <w:t xml:space="preserve">等，经济、社会和生态效益显著； </w:t>
      </w:r>
    </w:p>
    <w:p w14:paraId="629416F3" w14:textId="77777777" w:rsidR="00480709" w:rsidRDefault="00000000">
      <w:pPr>
        <w:spacing w:line="360" w:lineRule="auto"/>
        <w:ind w:firstLine="480"/>
        <w:rPr>
          <w:rFonts w:ascii="仿宋_GB2312" w:eastAsia="仿宋_GB2312" w:hAnsi="仿宋_GB2312" w:cs="仿宋_GB2312" w:hint="eastAsia"/>
          <w:sz w:val="32"/>
          <w:szCs w:val="32"/>
        </w:rPr>
      </w:pPr>
      <w:bookmarkStart w:id="6" w:name="_Hlk81732207"/>
      <w:bookmarkStart w:id="7" w:name="_Hlk79838729"/>
      <w:bookmarkEnd w:id="5"/>
      <w:r>
        <w:rPr>
          <w:rFonts w:ascii="仿宋_GB2312" w:eastAsia="仿宋_GB2312" w:hAnsi="仿宋_GB2312" w:cs="仿宋_GB2312" w:hint="eastAsia"/>
          <w:sz w:val="32"/>
          <w:szCs w:val="32"/>
        </w:rPr>
        <w:t>2、广东风景园林规划设计奖</w:t>
      </w:r>
    </w:p>
    <w:p w14:paraId="664159DE"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（1）规划设计项目应符合国家有关政策、法律、法规和技术标准规范等规定，各项审批手续完善，并符合国家有关强制性标准和规范；</w:t>
      </w:r>
    </w:p>
    <w:p w14:paraId="462C87FB" w14:textId="00EB39AF" w:rsidR="00480709" w:rsidRDefault="00000000" w:rsidP="00AE191B">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（2）规划设计理论、技术和方法具有创新性，规划设计成果对行业发展具有引领和示范作用，实施后经济、社会和生态效益显著；</w:t>
      </w:r>
    </w:p>
    <w:p w14:paraId="35698FCF"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3、广东风景园林工程技术奖</w:t>
      </w:r>
      <w:bookmarkEnd w:id="6"/>
    </w:p>
    <w:p w14:paraId="2DBEDA0F"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（1）遵循国家和行业设计标准、规范；施工符合国家和行业施工技术规范及有关技术标准要求；工程已验收合格，并经过一年管护期或保修期，没有发现质量问题和隐患；</w:t>
      </w:r>
    </w:p>
    <w:p w14:paraId="0DC02D78"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（2）在施工中应用新材料、新技术、新工艺等，对省内园林工程施工具有引领作用，且生态、社会、经济效益显著；</w:t>
      </w:r>
    </w:p>
    <w:p w14:paraId="4622AB7E"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4、广东风景园林教学成果奖</w:t>
      </w:r>
    </w:p>
    <w:p w14:paraId="3B19D358"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针对风景园林教育的特点和人才培养的要求，改革人才培养模式、课程体系和教学内容，改进教学方法和教育技术，建立与完善实践教学体系等方面所获得的成果。成果形式包括教改论文、教材、调研报告、教学案例、课程建设等。</w:t>
      </w:r>
    </w:p>
    <w:p w14:paraId="68CDB740"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（2）推广应用已有教学成果，在实践中进一步创新并取得突破性进展，显著提高教学效益和人才培养质量等方面的成果。 </w:t>
      </w:r>
    </w:p>
    <w:p w14:paraId="7BF5C4FF"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5、岭南名园奖</w:t>
      </w:r>
    </w:p>
    <w:p w14:paraId="1E935915"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（1）造园艺术水平精湛，具有显著时代和地域特征，广泛社会影响力和重要生态价值，并具备成为优秀历史园林遗产潜力的风景园林作品；</w:t>
      </w:r>
    </w:p>
    <w:p w14:paraId="15CD4A95"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bookmarkStart w:id="8" w:name="_Hlk141289592"/>
      <w:r>
        <w:rPr>
          <w:rFonts w:ascii="仿宋_GB2312" w:eastAsia="仿宋_GB2312" w:hAnsi="仿宋_GB2312" w:cs="仿宋_GB2312" w:hint="eastAsia"/>
          <w:sz w:val="32"/>
          <w:szCs w:val="32"/>
        </w:rPr>
        <w:t>建成时间在20-50年之间，园容园貌保持完好</w:t>
      </w:r>
      <w:bookmarkEnd w:id="8"/>
      <w:r>
        <w:rPr>
          <w:rFonts w:ascii="仿宋_GB2312" w:eastAsia="仿宋_GB2312" w:hAnsi="仿宋_GB2312" w:cs="仿宋_GB2312" w:hint="eastAsia"/>
          <w:sz w:val="32"/>
          <w:szCs w:val="32"/>
        </w:rPr>
        <w:t>；</w:t>
      </w:r>
    </w:p>
    <w:p w14:paraId="7FB2E255"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（3）每个评奖年度评选不超过4项，如无符合评奖要求的项目，奖项可空缺。</w:t>
      </w:r>
    </w:p>
    <w:bookmarkEnd w:id="7"/>
    <w:p w14:paraId="0CA1DD87"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（二）人物类奖项</w:t>
      </w:r>
    </w:p>
    <w:p w14:paraId="38BC4741"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1、广东风景园林终身成就奖</w:t>
      </w:r>
    </w:p>
    <w:p w14:paraId="2A065FD5"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（1）在风景园林行业科研、教学、规划、设计、施工、管理等岗位从业30年以上；</w:t>
      </w:r>
    </w:p>
    <w:p w14:paraId="51973257"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（2）在行业内享有高知名度、德高望重，对风景园林某一领域的进步和发展有重大推动和卓越贡献。</w:t>
      </w:r>
    </w:p>
    <w:p w14:paraId="307303C8"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（3）每个评奖年度评选不超过10人，如无符合评奖要求的候选人，奖项可空缺。</w:t>
      </w:r>
    </w:p>
    <w:p w14:paraId="4764D0C5"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2、广东风景园林设计大师奖</w:t>
      </w:r>
    </w:p>
    <w:p w14:paraId="01A9E97D"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（1）从事风景园林行业工作15年以上；</w:t>
      </w:r>
    </w:p>
    <w:p w14:paraId="6E6F24AB"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（2）具有深厚专业理论功底和丰富的实践经验，成绩卓著，在省内外享有较高声誉。</w:t>
      </w:r>
    </w:p>
    <w:p w14:paraId="38DEA02B"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3、广东风景园林教育名师</w:t>
      </w:r>
    </w:p>
    <w:p w14:paraId="4FB37427"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（1）从事风景园林教育和科研工作15年以上；</w:t>
      </w:r>
    </w:p>
    <w:p w14:paraId="327BD08A"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（2）教学水平高，教学效果好，注重教学改革与实践，取得高水平教学成果。</w:t>
      </w:r>
    </w:p>
    <w:p w14:paraId="52FC05D7"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4、广东风景园林营造名匠</w:t>
      </w:r>
    </w:p>
    <w:p w14:paraId="2978DC6D"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（1）在风景园林施工和养护等岗位从业15年以上；</w:t>
      </w:r>
    </w:p>
    <w:p w14:paraId="1CAD1AD7"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（2）具有深厚专业理论功底，有较强解决重大技术难题能力，善于应用和推广新技术、新设备、新工艺，其成</w:t>
      </w:r>
      <w:r>
        <w:rPr>
          <w:rFonts w:ascii="仿宋_GB2312" w:eastAsia="仿宋_GB2312" w:hAnsi="仿宋_GB2312" w:cs="仿宋_GB2312" w:hint="eastAsia"/>
          <w:sz w:val="32"/>
          <w:szCs w:val="32"/>
        </w:rPr>
        <w:lastRenderedPageBreak/>
        <w:t>果具有良好的社会效益和经济效益。</w:t>
      </w:r>
    </w:p>
    <w:p w14:paraId="37EB6A65"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5、广东风景园林杰出青年</w:t>
      </w:r>
    </w:p>
    <w:p w14:paraId="5D5D78AF"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（1）在风景园林行业科研、教学、生产、设计、施工、管理等岗位从业8年以上；</w:t>
      </w:r>
    </w:p>
    <w:p w14:paraId="65EBC32A"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（2）具有较强的创新能力，在省内外业界具有良好影响和知名度，有较大潜力承担引领行业未来发展的重任。</w:t>
      </w:r>
    </w:p>
    <w:p w14:paraId="20AB0A30" w14:textId="77777777" w:rsidR="00480709" w:rsidRDefault="00480709">
      <w:pPr>
        <w:spacing w:line="360" w:lineRule="auto"/>
        <w:ind w:firstLineChars="200" w:firstLine="640"/>
        <w:rPr>
          <w:rFonts w:ascii="仿宋_GB2312" w:eastAsia="仿宋_GB2312" w:hAnsi="仿宋_GB2312" w:cs="仿宋_GB2312" w:hint="eastAsia"/>
          <w:sz w:val="32"/>
          <w:szCs w:val="32"/>
        </w:rPr>
      </w:pPr>
    </w:p>
    <w:p w14:paraId="5CB28470" w14:textId="77777777" w:rsidR="00480709" w:rsidRDefault="00000000">
      <w:pPr>
        <w:numPr>
          <w:ilvl w:val="0"/>
          <w:numId w:val="1"/>
        </w:numPr>
        <w:spacing w:line="360" w:lineRule="auto"/>
        <w:ind w:firstLineChars="200" w:firstLine="643"/>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受理和评审程序</w:t>
      </w:r>
    </w:p>
    <w:p w14:paraId="478FB4F3" w14:textId="663795A4" w:rsidR="00480709" w:rsidRDefault="00000000">
      <w:pPr>
        <w:spacing w:line="276"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第十一条</w:t>
      </w:r>
      <w:r>
        <w:rPr>
          <w:rFonts w:ascii="仿宋_GB2312" w:eastAsia="仿宋_GB2312" w:hAnsi="仿宋_GB2312" w:cs="仿宋_GB2312" w:hint="eastAsia"/>
          <w:sz w:val="32"/>
          <w:szCs w:val="32"/>
        </w:rPr>
        <w:t xml:space="preserve"> 广东园林学会科学技术奖评审工作在广东园林学会常务理事会领导下，由广东园林学会科学技术奖评审委员会负责。评审程序包含通知、申报</w:t>
      </w:r>
      <w:r w:rsidR="005079B6">
        <w:rPr>
          <w:rFonts w:ascii="仿宋_GB2312" w:eastAsia="仿宋_GB2312" w:hAnsi="仿宋_GB2312" w:cs="仿宋_GB2312" w:hint="eastAsia"/>
          <w:sz w:val="32"/>
          <w:szCs w:val="32"/>
        </w:rPr>
        <w:t>与</w:t>
      </w:r>
      <w:r w:rsidR="002E127D">
        <w:rPr>
          <w:rFonts w:ascii="仿宋_GB2312" w:eastAsia="仿宋_GB2312" w:hAnsi="仿宋_GB2312" w:cs="仿宋_GB2312" w:hint="eastAsia"/>
          <w:sz w:val="32"/>
          <w:szCs w:val="32"/>
        </w:rPr>
        <w:t>提名</w:t>
      </w:r>
      <w:r>
        <w:rPr>
          <w:rFonts w:ascii="仿宋_GB2312" w:eastAsia="仿宋_GB2312" w:hAnsi="仿宋_GB2312" w:cs="仿宋_GB2312" w:hint="eastAsia"/>
          <w:sz w:val="32"/>
          <w:szCs w:val="32"/>
        </w:rPr>
        <w:t>、评审、公示、公布和表彰6个环节。</w:t>
      </w:r>
    </w:p>
    <w:p w14:paraId="6F1D9635" w14:textId="77777777" w:rsidR="00480709" w:rsidRDefault="00000000">
      <w:pPr>
        <w:spacing w:line="276"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第十二条 通知。</w:t>
      </w:r>
      <w:r>
        <w:rPr>
          <w:rFonts w:ascii="仿宋_GB2312" w:eastAsia="仿宋_GB2312" w:hAnsi="仿宋_GB2312" w:cs="仿宋_GB2312" w:hint="eastAsia"/>
          <w:sz w:val="32"/>
          <w:szCs w:val="32"/>
        </w:rPr>
        <w:t>广东园林学会在评审前统一发布评审通知。</w:t>
      </w:r>
    </w:p>
    <w:p w14:paraId="5D18577A" w14:textId="05CA47BC" w:rsidR="00480709" w:rsidRDefault="00000000">
      <w:pPr>
        <w:spacing w:line="276" w:lineRule="auto"/>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第十三条 申报</w:t>
      </w:r>
      <w:r w:rsidR="005079B6">
        <w:rPr>
          <w:rFonts w:ascii="仿宋_GB2312" w:eastAsia="仿宋_GB2312" w:hAnsi="仿宋_GB2312" w:cs="仿宋_GB2312" w:hint="eastAsia"/>
          <w:b/>
          <w:bCs/>
          <w:sz w:val="32"/>
          <w:szCs w:val="32"/>
        </w:rPr>
        <w:t>与</w:t>
      </w:r>
      <w:r w:rsidR="002E127D">
        <w:rPr>
          <w:rFonts w:ascii="仿宋_GB2312" w:eastAsia="仿宋_GB2312" w:hAnsi="仿宋_GB2312" w:cs="仿宋_GB2312" w:hint="eastAsia"/>
          <w:b/>
          <w:bCs/>
          <w:sz w:val="32"/>
          <w:szCs w:val="32"/>
        </w:rPr>
        <w:t>提名</w:t>
      </w:r>
      <w:r>
        <w:rPr>
          <w:rFonts w:ascii="仿宋_GB2312" w:eastAsia="仿宋_GB2312" w:hAnsi="仿宋_GB2312" w:cs="仿宋_GB2312" w:hint="eastAsia"/>
          <w:b/>
          <w:bCs/>
          <w:sz w:val="32"/>
          <w:szCs w:val="32"/>
        </w:rPr>
        <w:t>。</w:t>
      </w:r>
    </w:p>
    <w:p w14:paraId="09E0D6A3" w14:textId="55FA013B"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（一）广东园林学会科学技术奖项实行自主申报与提名两种方式。岭南名园奖和</w:t>
      </w:r>
      <w:r w:rsidR="00AE191B">
        <w:rPr>
          <w:rFonts w:ascii="仿宋_GB2312" w:eastAsia="仿宋_GB2312" w:hAnsi="仿宋_GB2312" w:cs="仿宋_GB2312" w:hint="eastAsia"/>
          <w:sz w:val="32"/>
          <w:szCs w:val="32"/>
        </w:rPr>
        <w:t>人物类称号</w:t>
      </w:r>
      <w:r w:rsidR="00771660">
        <w:rPr>
          <w:rFonts w:ascii="仿宋_GB2312" w:eastAsia="仿宋_GB2312" w:hAnsi="仿宋_GB2312" w:cs="仿宋_GB2312" w:hint="eastAsia"/>
          <w:sz w:val="32"/>
          <w:szCs w:val="32"/>
        </w:rPr>
        <w:t>需由专家提名</w:t>
      </w:r>
      <w:r>
        <w:rPr>
          <w:rFonts w:ascii="仿宋_GB2312" w:eastAsia="仿宋_GB2312" w:hAnsi="仿宋_GB2312" w:cs="仿宋_GB2312" w:hint="eastAsia"/>
          <w:sz w:val="32"/>
          <w:szCs w:val="32"/>
        </w:rPr>
        <w:t>，其他奖项原则上实行自主申报。</w:t>
      </w:r>
    </w:p>
    <w:p w14:paraId="1196F399"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（二）申报项目类奖项，主要参与单位有两个或两个以上，由项目主持单位或第一完成单位与其它完成单位协商一致后申报；项目完成单位不超过5家。</w:t>
      </w:r>
    </w:p>
    <w:p w14:paraId="670BF9E3"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（三）主要完成单位和主要完成人，必须是对项目完</w:t>
      </w:r>
      <w:r>
        <w:rPr>
          <w:rFonts w:ascii="仿宋_GB2312" w:eastAsia="仿宋_GB2312" w:hAnsi="仿宋_GB2312" w:cs="仿宋_GB2312" w:hint="eastAsia"/>
          <w:sz w:val="32"/>
          <w:szCs w:val="32"/>
        </w:rPr>
        <w:lastRenderedPageBreak/>
        <w:t>成做出实质性贡献的单位和个人，单独申报项目不超过12人，合作申报项目不超过15人。</w:t>
      </w:r>
    </w:p>
    <w:p w14:paraId="517E7A57"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（四）申报单位和个人对申报材料的真实性负责。一旦发现弄虚作假行为，即取消参评资格，并在三年内不得申报。</w:t>
      </w:r>
    </w:p>
    <w:p w14:paraId="7C2845A0"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（五）不得申报涉及到知识产权纠纷、争议和国家安全的项目。</w:t>
      </w:r>
    </w:p>
    <w:p w14:paraId="30040C27"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（六）评审委员会办公室组织各子奖项工作组负责对申报材料进行形式审查。</w:t>
      </w:r>
    </w:p>
    <w:p w14:paraId="265305EB" w14:textId="77777777" w:rsidR="00480709" w:rsidRDefault="00000000">
      <w:pPr>
        <w:spacing w:line="360" w:lineRule="auto"/>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第十四条 评审。</w:t>
      </w:r>
      <w:r>
        <w:rPr>
          <w:rFonts w:ascii="仿宋_GB2312" w:eastAsia="仿宋_GB2312" w:hAnsi="仿宋_GB2312" w:cs="仿宋_GB2312" w:hint="eastAsia"/>
          <w:sz w:val="32"/>
          <w:szCs w:val="32"/>
        </w:rPr>
        <w:t>评审工作坚持公开、公正、公平的原则，分初评和终评两个环节。</w:t>
      </w:r>
    </w:p>
    <w:p w14:paraId="5A16C25D" w14:textId="7C0D1332"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（一）初评确定入围名单，超过半数评审专家同意的项目方可取得入围资格。除人物类</w:t>
      </w:r>
      <w:r w:rsidR="00771660">
        <w:rPr>
          <w:rFonts w:ascii="仿宋_GB2312" w:eastAsia="仿宋_GB2312" w:hAnsi="仿宋_GB2312" w:cs="仿宋_GB2312" w:hint="eastAsia"/>
          <w:sz w:val="32"/>
          <w:szCs w:val="32"/>
        </w:rPr>
        <w:t>称号</w:t>
      </w:r>
      <w:r>
        <w:rPr>
          <w:rFonts w:ascii="仿宋_GB2312" w:eastAsia="仿宋_GB2312" w:hAnsi="仿宋_GB2312" w:cs="仿宋_GB2312" w:hint="eastAsia"/>
          <w:sz w:val="32"/>
          <w:szCs w:val="32"/>
        </w:rPr>
        <w:t>和岭南名园奖外，入围项目比例原则上不超过申报总数的</w:t>
      </w:r>
      <w:r w:rsidR="00C42FFF">
        <w:rPr>
          <w:rFonts w:ascii="仿宋_GB2312" w:eastAsia="仿宋_GB2312" w:hAnsi="仿宋_GB2312" w:cs="仿宋_GB2312" w:hint="eastAsia"/>
          <w:sz w:val="32"/>
          <w:szCs w:val="32"/>
        </w:rPr>
        <w:t>60</w:t>
      </w:r>
      <w:r w:rsidRPr="00B7044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362B5A41"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（二）初评和终评可采取通讯或评审会形式进行，终评原则上以评审会形式进行。</w:t>
      </w:r>
    </w:p>
    <w:p w14:paraId="38323BBE" w14:textId="34D0ECD0"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（三）项目类奖项终评采用参评专家无记名打分方法产生，</w:t>
      </w:r>
      <w:r w:rsidR="00AE191B">
        <w:rPr>
          <w:rFonts w:ascii="仿宋_GB2312" w:eastAsia="仿宋_GB2312" w:hAnsi="仿宋_GB2312" w:cs="仿宋_GB2312" w:hint="eastAsia"/>
          <w:sz w:val="32"/>
          <w:szCs w:val="32"/>
        </w:rPr>
        <w:t>按</w:t>
      </w:r>
      <w:r w:rsidR="00AE191B" w:rsidRPr="003347CE">
        <w:rPr>
          <w:rFonts w:ascii="仿宋_GB2312" w:eastAsia="仿宋_GB2312" w:hAnsi="仿宋_GB2312" w:cs="仿宋_GB2312" w:hint="eastAsia"/>
          <w:sz w:val="32"/>
          <w:szCs w:val="32"/>
        </w:rPr>
        <w:t>得分从高到低排序</w:t>
      </w:r>
      <w:r w:rsidR="00AE191B">
        <w:rPr>
          <w:rFonts w:ascii="仿宋_GB2312" w:eastAsia="仿宋_GB2312" w:hAnsi="仿宋_GB2312" w:cs="仿宋_GB2312" w:hint="eastAsia"/>
          <w:sz w:val="32"/>
          <w:szCs w:val="32"/>
        </w:rPr>
        <w:t>，</w:t>
      </w:r>
      <w:r w:rsidR="00AE191B" w:rsidRPr="003347CE">
        <w:rPr>
          <w:rFonts w:ascii="仿宋_GB2312" w:eastAsia="仿宋_GB2312" w:hAnsi="仿宋_GB2312" w:cs="仿宋_GB2312" w:hint="eastAsia"/>
          <w:sz w:val="32"/>
          <w:szCs w:val="32"/>
        </w:rPr>
        <w:t>依序授予奖项</w:t>
      </w:r>
      <w:r w:rsidR="00AE191B">
        <w:rPr>
          <w:rFonts w:ascii="仿宋_GB2312" w:eastAsia="仿宋_GB2312" w:hAnsi="仿宋_GB2312" w:cs="仿宋_GB2312" w:hint="eastAsia"/>
          <w:sz w:val="32"/>
          <w:szCs w:val="32"/>
        </w:rPr>
        <w:t>，且一等奖≥90分、二等奖≥80分、三等奖≥70分，最终获奖</w:t>
      </w:r>
      <w:r w:rsidR="00AE191B" w:rsidRPr="00C42FFF">
        <w:rPr>
          <w:rFonts w:ascii="仿宋_GB2312" w:eastAsia="仿宋_GB2312" w:hAnsi="仿宋_GB2312" w:cs="仿宋_GB2312" w:hint="eastAsia"/>
          <w:sz w:val="32"/>
          <w:szCs w:val="32"/>
        </w:rPr>
        <w:t>比例</w:t>
      </w:r>
      <w:r w:rsidR="00AE191B">
        <w:rPr>
          <w:rFonts w:ascii="仿宋_GB2312" w:eastAsia="仿宋_GB2312" w:hAnsi="仿宋_GB2312" w:cs="仿宋_GB2312" w:hint="eastAsia"/>
          <w:sz w:val="32"/>
          <w:szCs w:val="32"/>
        </w:rPr>
        <w:t>不超过</w:t>
      </w:r>
      <w:r w:rsidR="00AE191B" w:rsidRPr="00C42FFF">
        <w:rPr>
          <w:rFonts w:ascii="仿宋_GB2312" w:eastAsia="仿宋_GB2312" w:hAnsi="仿宋_GB2312" w:cs="仿宋_GB2312" w:hint="eastAsia"/>
          <w:sz w:val="32"/>
          <w:szCs w:val="32"/>
        </w:rPr>
        <w:t>申报数量的50%</w:t>
      </w:r>
      <w:r>
        <w:rPr>
          <w:rFonts w:ascii="仿宋_GB2312" w:eastAsia="仿宋_GB2312" w:hAnsi="仿宋_GB2312" w:cs="仿宋_GB2312" w:hint="eastAsia"/>
          <w:sz w:val="32"/>
          <w:szCs w:val="32"/>
        </w:rPr>
        <w:t>。人物类</w:t>
      </w:r>
      <w:r w:rsidR="00771660">
        <w:rPr>
          <w:rFonts w:ascii="仿宋_GB2312" w:eastAsia="仿宋_GB2312" w:hAnsi="仿宋_GB2312" w:cs="仿宋_GB2312" w:hint="eastAsia"/>
          <w:sz w:val="32"/>
          <w:szCs w:val="32"/>
        </w:rPr>
        <w:t>称号</w:t>
      </w:r>
      <w:r>
        <w:rPr>
          <w:rFonts w:ascii="仿宋_GB2312" w:eastAsia="仿宋_GB2312" w:hAnsi="仿宋_GB2312" w:cs="仿宋_GB2312" w:hint="eastAsia"/>
          <w:sz w:val="32"/>
          <w:szCs w:val="32"/>
        </w:rPr>
        <w:t>终评采用参评专家无记名投票方式产生，依据票数排序，各奖项名额由评审委员会依据申报情况在每个评奖年度内具体确定，且所有奖项可空</w:t>
      </w:r>
      <w:r>
        <w:rPr>
          <w:rFonts w:ascii="仿宋_GB2312" w:eastAsia="仿宋_GB2312" w:hAnsi="仿宋_GB2312" w:cs="仿宋_GB2312" w:hint="eastAsia"/>
          <w:sz w:val="32"/>
          <w:szCs w:val="32"/>
        </w:rPr>
        <w:lastRenderedPageBreak/>
        <w:t>缺。</w:t>
      </w:r>
    </w:p>
    <w:p w14:paraId="7A2AB07A"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（四）参加评审的委员、专家和工作人员，应本着科学、公正、独立的原则评审和行使评审职权。对被评审项目的内容、评审过程、评审中评审专家个人意见及未公布的评审结果等，负有保密责任。</w:t>
      </w:r>
    </w:p>
    <w:p w14:paraId="52C12AF6"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（五）评审中如有涉及与评审专家本人有关的项目时，实行回避制度。</w:t>
      </w:r>
    </w:p>
    <w:p w14:paraId="5799F5E9" w14:textId="77777777" w:rsidR="00480709" w:rsidRDefault="00480709">
      <w:pPr>
        <w:spacing w:line="360" w:lineRule="auto"/>
        <w:ind w:left="602"/>
        <w:jc w:val="center"/>
        <w:rPr>
          <w:rFonts w:ascii="仿宋_GB2312" w:eastAsia="仿宋_GB2312" w:hAnsi="仿宋_GB2312" w:cs="仿宋_GB2312" w:hint="eastAsia"/>
          <w:b/>
          <w:sz w:val="32"/>
          <w:szCs w:val="32"/>
        </w:rPr>
      </w:pPr>
    </w:p>
    <w:p w14:paraId="487BBD9E" w14:textId="77777777" w:rsidR="00480709" w:rsidRDefault="00000000">
      <w:pPr>
        <w:spacing w:line="360" w:lineRule="auto"/>
        <w:ind w:left="602"/>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第五章 公示与异议处理</w:t>
      </w:r>
    </w:p>
    <w:p w14:paraId="4E26254C" w14:textId="77777777" w:rsidR="00480709" w:rsidRDefault="00000000">
      <w:pPr>
        <w:spacing w:line="360" w:lineRule="auto"/>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第十五条 公示。</w:t>
      </w:r>
    </w:p>
    <w:p w14:paraId="2871B8B7" w14:textId="77777777" w:rsidR="00480709" w:rsidRDefault="00000000">
      <w:pPr>
        <w:spacing w:line="360" w:lineRule="auto"/>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通过审定的获奖名单在广东园林学会网站上公示，接受业界和社会监督。公示时间原则上不少于7日。</w:t>
      </w:r>
    </w:p>
    <w:p w14:paraId="2DC811BC" w14:textId="77777777" w:rsidR="00480709" w:rsidRDefault="00000000">
      <w:pPr>
        <w:spacing w:line="360" w:lineRule="auto"/>
        <w:ind w:firstLine="60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第十六条 异议处理。</w:t>
      </w:r>
    </w:p>
    <w:p w14:paraId="6F5D172F"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对获奖名单持有异议的单位或个人，须在公示期内，以书面形式向评审委员会办公室反馈。反馈信息需明确指出异议内容，并附有关证明资料，逾期不予受理。提出异议的单位须在材料上加盖本单位公章，注明联系人姓名和电话；对于提出异议的个人，须在材料上写清真实姓名、工作单位、联系电话等信息。涉及候选单位、候选人及其排序的异议，由申报单位自行解决。不受理对评审等级的异议。</w:t>
      </w:r>
    </w:p>
    <w:p w14:paraId="614F67A0" w14:textId="77777777" w:rsidR="00480709" w:rsidRDefault="0000000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（二）对存在异议的项目，由评审办公室组织评委和</w:t>
      </w:r>
      <w:r>
        <w:rPr>
          <w:rFonts w:ascii="仿宋_GB2312" w:eastAsia="仿宋_GB2312" w:hAnsi="仿宋_GB2312" w:cs="仿宋_GB2312" w:hint="eastAsia"/>
          <w:sz w:val="32"/>
          <w:szCs w:val="32"/>
        </w:rPr>
        <w:lastRenderedPageBreak/>
        <w:t>相关专家进行调查和复审，并提出处理意见，报评审委员会裁定。</w:t>
      </w:r>
    </w:p>
    <w:p w14:paraId="3E474136" w14:textId="77777777" w:rsidR="00480709" w:rsidRDefault="00480709">
      <w:pPr>
        <w:spacing w:line="360" w:lineRule="auto"/>
        <w:ind w:firstLineChars="200" w:firstLine="640"/>
        <w:rPr>
          <w:rFonts w:ascii="仿宋_GB2312" w:eastAsia="仿宋_GB2312" w:hAnsi="仿宋_GB2312" w:cs="仿宋_GB2312" w:hint="eastAsia"/>
          <w:sz w:val="32"/>
          <w:szCs w:val="32"/>
        </w:rPr>
      </w:pPr>
    </w:p>
    <w:p w14:paraId="4E9D9786" w14:textId="77777777" w:rsidR="00480709" w:rsidRDefault="00000000">
      <w:pPr>
        <w:spacing w:line="360" w:lineRule="auto"/>
        <w:ind w:firstLineChars="200" w:firstLine="643"/>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第六章 公布和表彰</w:t>
      </w:r>
    </w:p>
    <w:p w14:paraId="0ECAC088"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第十七条 公布</w:t>
      </w:r>
      <w:r>
        <w:rPr>
          <w:rFonts w:ascii="仿宋_GB2312" w:eastAsia="仿宋_GB2312" w:hAnsi="仿宋_GB2312" w:cs="仿宋_GB2312" w:hint="eastAsia"/>
          <w:sz w:val="32"/>
          <w:szCs w:val="32"/>
        </w:rPr>
        <w:t>。评审委员会结合公示意见，决定最终获奖名单，评审委员会办公室正式拟文公布并在广东园林学会网站和广东园林杂志微信公众号等媒介上发布。</w:t>
      </w:r>
    </w:p>
    <w:p w14:paraId="1348D483"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第十八条 表彰。</w:t>
      </w:r>
      <w:r>
        <w:rPr>
          <w:rFonts w:ascii="仿宋_GB2312" w:eastAsia="仿宋_GB2312" w:hAnsi="仿宋_GB2312" w:cs="仿宋_GB2312" w:hint="eastAsia"/>
          <w:sz w:val="32"/>
          <w:szCs w:val="32"/>
        </w:rPr>
        <w:t>广东园林学会将向获奖单位或个人颁发证书，并进行表彰。</w:t>
      </w:r>
    </w:p>
    <w:p w14:paraId="6C0D546B" w14:textId="77777777" w:rsidR="00480709" w:rsidRDefault="00480709">
      <w:pPr>
        <w:spacing w:line="360" w:lineRule="auto"/>
        <w:rPr>
          <w:rFonts w:ascii="仿宋_GB2312" w:eastAsia="仿宋_GB2312" w:hAnsi="仿宋_GB2312" w:cs="仿宋_GB2312" w:hint="eastAsia"/>
          <w:b/>
          <w:sz w:val="32"/>
          <w:szCs w:val="32"/>
        </w:rPr>
      </w:pPr>
    </w:p>
    <w:p w14:paraId="566C7ADD" w14:textId="77777777" w:rsidR="00480709" w:rsidRDefault="00000000">
      <w:pPr>
        <w:spacing w:line="360" w:lineRule="auto"/>
        <w:ind w:firstLine="480"/>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第七章  附则</w:t>
      </w:r>
    </w:p>
    <w:p w14:paraId="1AB26301"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第十九条</w:t>
      </w:r>
      <w:r>
        <w:rPr>
          <w:rFonts w:ascii="仿宋_GB2312" w:eastAsia="仿宋_GB2312" w:hAnsi="仿宋_GB2312" w:cs="仿宋_GB2312" w:hint="eastAsia"/>
          <w:sz w:val="32"/>
          <w:szCs w:val="32"/>
        </w:rPr>
        <w:t xml:space="preserve"> 本章程由广东园林学会科学技术奖评审委员会负责解释。</w:t>
      </w:r>
    </w:p>
    <w:p w14:paraId="488CD45C" w14:textId="77777777" w:rsidR="00480709" w:rsidRDefault="00000000">
      <w:pPr>
        <w:spacing w:line="360" w:lineRule="auto"/>
        <w:ind w:firstLine="480"/>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hint="eastAsia"/>
          <w:sz w:val="32"/>
          <w:szCs w:val="32"/>
        </w:rPr>
        <w:t xml:space="preserve"> 本章程经广东园林学会常务理事会议审议通过，自颁布之日起实施。</w:t>
      </w:r>
    </w:p>
    <w:p w14:paraId="5DBBB3B3" w14:textId="77777777" w:rsidR="00480709" w:rsidRDefault="00480709">
      <w:pPr>
        <w:rPr>
          <w:rFonts w:asciiTheme="majorEastAsia" w:eastAsiaTheme="majorEastAsia" w:hAnsiTheme="majorEastAsia" w:hint="eastAsia"/>
        </w:rPr>
      </w:pPr>
    </w:p>
    <w:sectPr w:rsidR="00480709">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F5D53" w14:textId="77777777" w:rsidR="002E5F75" w:rsidRDefault="002E5F75">
      <w:r>
        <w:separator/>
      </w:r>
    </w:p>
  </w:endnote>
  <w:endnote w:type="continuationSeparator" w:id="0">
    <w:p w14:paraId="6CD9F6C0" w14:textId="77777777" w:rsidR="002E5F75" w:rsidRDefault="002E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1536" w14:textId="77777777" w:rsidR="00480709" w:rsidRDefault="00000000">
    <w:pPr>
      <w:pStyle w:val="a7"/>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63186D97" w14:textId="77777777" w:rsidR="00480709" w:rsidRDefault="0048070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6987" w14:textId="77777777" w:rsidR="00480709" w:rsidRDefault="00000000">
    <w:pPr>
      <w:pStyle w:val="a7"/>
      <w:framePr w:wrap="around" w:vAnchor="text" w:hAnchor="margin" w:xAlign="center" w:y="1"/>
      <w:rPr>
        <w:rStyle w:val="ac"/>
      </w:rPr>
    </w:pPr>
    <w:r>
      <w:fldChar w:fldCharType="begin"/>
    </w:r>
    <w:r>
      <w:rPr>
        <w:rStyle w:val="ac"/>
      </w:rPr>
      <w:instrText xml:space="preserve">PAGE  </w:instrText>
    </w:r>
    <w:r>
      <w:fldChar w:fldCharType="separate"/>
    </w:r>
    <w:r>
      <w:rPr>
        <w:rStyle w:val="ac"/>
      </w:rPr>
      <w:t>10</w:t>
    </w:r>
    <w:r>
      <w:fldChar w:fldCharType="end"/>
    </w:r>
  </w:p>
  <w:p w14:paraId="53D85C20" w14:textId="77777777" w:rsidR="00480709" w:rsidRDefault="0048070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7A79" w14:textId="77777777" w:rsidR="002E5F75" w:rsidRDefault="002E5F75">
      <w:r>
        <w:separator/>
      </w:r>
    </w:p>
  </w:footnote>
  <w:footnote w:type="continuationSeparator" w:id="0">
    <w:p w14:paraId="1DD34912" w14:textId="77777777" w:rsidR="002E5F75" w:rsidRDefault="002E5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C95CD"/>
    <w:multiLevelType w:val="singleLevel"/>
    <w:tmpl w:val="147C95CD"/>
    <w:lvl w:ilvl="0">
      <w:start w:val="3"/>
      <w:numFmt w:val="chineseCounting"/>
      <w:suff w:val="space"/>
      <w:lvlText w:val="第%1章"/>
      <w:lvlJc w:val="left"/>
      <w:rPr>
        <w:rFonts w:hint="eastAsia"/>
      </w:rPr>
    </w:lvl>
  </w:abstractNum>
  <w:num w:numId="1" w16cid:durableId="24303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UyYzM2YTJkMGZmMGM2ZTdlYzhiMjY0MmNkOTdmYzMifQ=="/>
  </w:docVars>
  <w:rsids>
    <w:rsidRoot w:val="17240269"/>
    <w:rsid w:val="000251F6"/>
    <w:rsid w:val="00027393"/>
    <w:rsid w:val="00032A4E"/>
    <w:rsid w:val="00044A12"/>
    <w:rsid w:val="00057F91"/>
    <w:rsid w:val="000601DF"/>
    <w:rsid w:val="000751D0"/>
    <w:rsid w:val="0007588E"/>
    <w:rsid w:val="000B6F84"/>
    <w:rsid w:val="000D6057"/>
    <w:rsid w:val="000E6623"/>
    <w:rsid w:val="000F0EEC"/>
    <w:rsid w:val="001019C3"/>
    <w:rsid w:val="00113F23"/>
    <w:rsid w:val="00122285"/>
    <w:rsid w:val="001235BA"/>
    <w:rsid w:val="00134D3D"/>
    <w:rsid w:val="00144B78"/>
    <w:rsid w:val="00144B8C"/>
    <w:rsid w:val="0015024A"/>
    <w:rsid w:val="00177FBD"/>
    <w:rsid w:val="001B3AA3"/>
    <w:rsid w:val="001B3E34"/>
    <w:rsid w:val="001C6D06"/>
    <w:rsid w:val="001C76BD"/>
    <w:rsid w:val="001D06B3"/>
    <w:rsid w:val="001E19B9"/>
    <w:rsid w:val="001E7523"/>
    <w:rsid w:val="001F4015"/>
    <w:rsid w:val="0022641C"/>
    <w:rsid w:val="00235063"/>
    <w:rsid w:val="00257C4E"/>
    <w:rsid w:val="002626D9"/>
    <w:rsid w:val="00264171"/>
    <w:rsid w:val="002642EF"/>
    <w:rsid w:val="0026709D"/>
    <w:rsid w:val="002814C5"/>
    <w:rsid w:val="0028242D"/>
    <w:rsid w:val="002A74D4"/>
    <w:rsid w:val="002E037C"/>
    <w:rsid w:val="002E127D"/>
    <w:rsid w:val="002E5F75"/>
    <w:rsid w:val="002F18B9"/>
    <w:rsid w:val="003014CB"/>
    <w:rsid w:val="00302572"/>
    <w:rsid w:val="0031201D"/>
    <w:rsid w:val="003140F7"/>
    <w:rsid w:val="00333441"/>
    <w:rsid w:val="003A6A55"/>
    <w:rsid w:val="003B24AF"/>
    <w:rsid w:val="003B4E45"/>
    <w:rsid w:val="003B65EA"/>
    <w:rsid w:val="003F3277"/>
    <w:rsid w:val="003F6FE1"/>
    <w:rsid w:val="00412D3E"/>
    <w:rsid w:val="00412FC4"/>
    <w:rsid w:val="00425DFE"/>
    <w:rsid w:val="00431239"/>
    <w:rsid w:val="0043784D"/>
    <w:rsid w:val="00437905"/>
    <w:rsid w:val="004472B4"/>
    <w:rsid w:val="0045705D"/>
    <w:rsid w:val="00465B9A"/>
    <w:rsid w:val="00472B06"/>
    <w:rsid w:val="00480709"/>
    <w:rsid w:val="00483B77"/>
    <w:rsid w:val="00491B39"/>
    <w:rsid w:val="004977C4"/>
    <w:rsid w:val="004A1EC9"/>
    <w:rsid w:val="004C7AAC"/>
    <w:rsid w:val="004D37D8"/>
    <w:rsid w:val="004E2846"/>
    <w:rsid w:val="004F0841"/>
    <w:rsid w:val="004F2FB4"/>
    <w:rsid w:val="005007D9"/>
    <w:rsid w:val="00501D08"/>
    <w:rsid w:val="005027AE"/>
    <w:rsid w:val="005079B6"/>
    <w:rsid w:val="00526EA8"/>
    <w:rsid w:val="00580834"/>
    <w:rsid w:val="00581A92"/>
    <w:rsid w:val="00584F2A"/>
    <w:rsid w:val="005865B2"/>
    <w:rsid w:val="005F1F00"/>
    <w:rsid w:val="005F77F8"/>
    <w:rsid w:val="0061060C"/>
    <w:rsid w:val="00631AC1"/>
    <w:rsid w:val="00634790"/>
    <w:rsid w:val="00641AFD"/>
    <w:rsid w:val="00650EFB"/>
    <w:rsid w:val="006936AA"/>
    <w:rsid w:val="006A5E6C"/>
    <w:rsid w:val="006C0E44"/>
    <w:rsid w:val="006D7808"/>
    <w:rsid w:val="006F1A07"/>
    <w:rsid w:val="00730C4E"/>
    <w:rsid w:val="00734106"/>
    <w:rsid w:val="00736F24"/>
    <w:rsid w:val="007614A4"/>
    <w:rsid w:val="007662A4"/>
    <w:rsid w:val="00771660"/>
    <w:rsid w:val="00781322"/>
    <w:rsid w:val="007813AD"/>
    <w:rsid w:val="007B5968"/>
    <w:rsid w:val="007C4811"/>
    <w:rsid w:val="007C72A9"/>
    <w:rsid w:val="007D05F1"/>
    <w:rsid w:val="007E0A50"/>
    <w:rsid w:val="007E7707"/>
    <w:rsid w:val="007F7A74"/>
    <w:rsid w:val="00801C8D"/>
    <w:rsid w:val="008222E1"/>
    <w:rsid w:val="00826B26"/>
    <w:rsid w:val="00844996"/>
    <w:rsid w:val="008567A6"/>
    <w:rsid w:val="008661CB"/>
    <w:rsid w:val="00866BC4"/>
    <w:rsid w:val="00883EC7"/>
    <w:rsid w:val="008939FE"/>
    <w:rsid w:val="008E3B8A"/>
    <w:rsid w:val="008F3E2C"/>
    <w:rsid w:val="009004F5"/>
    <w:rsid w:val="00936E19"/>
    <w:rsid w:val="009436E5"/>
    <w:rsid w:val="00945974"/>
    <w:rsid w:val="009A234C"/>
    <w:rsid w:val="009A63EB"/>
    <w:rsid w:val="009B265C"/>
    <w:rsid w:val="009B3FE6"/>
    <w:rsid w:val="009C35CE"/>
    <w:rsid w:val="009F1232"/>
    <w:rsid w:val="009F1E06"/>
    <w:rsid w:val="00A0109D"/>
    <w:rsid w:val="00A1687B"/>
    <w:rsid w:val="00A21F6F"/>
    <w:rsid w:val="00A3539B"/>
    <w:rsid w:val="00A475D8"/>
    <w:rsid w:val="00A77740"/>
    <w:rsid w:val="00A82C50"/>
    <w:rsid w:val="00AA1892"/>
    <w:rsid w:val="00AE088E"/>
    <w:rsid w:val="00AE191B"/>
    <w:rsid w:val="00AE7810"/>
    <w:rsid w:val="00AF2BC1"/>
    <w:rsid w:val="00B405E7"/>
    <w:rsid w:val="00B545E4"/>
    <w:rsid w:val="00B6037D"/>
    <w:rsid w:val="00B64FA3"/>
    <w:rsid w:val="00B7044D"/>
    <w:rsid w:val="00B8668A"/>
    <w:rsid w:val="00B92F42"/>
    <w:rsid w:val="00BE767A"/>
    <w:rsid w:val="00C0111F"/>
    <w:rsid w:val="00C12407"/>
    <w:rsid w:val="00C14E4B"/>
    <w:rsid w:val="00C25567"/>
    <w:rsid w:val="00C36345"/>
    <w:rsid w:val="00C42FFF"/>
    <w:rsid w:val="00C71C6A"/>
    <w:rsid w:val="00C84F29"/>
    <w:rsid w:val="00CB0C00"/>
    <w:rsid w:val="00CB2A49"/>
    <w:rsid w:val="00CD2674"/>
    <w:rsid w:val="00CD65CC"/>
    <w:rsid w:val="00CE3E40"/>
    <w:rsid w:val="00D13935"/>
    <w:rsid w:val="00D255C8"/>
    <w:rsid w:val="00D30620"/>
    <w:rsid w:val="00D510C0"/>
    <w:rsid w:val="00D55356"/>
    <w:rsid w:val="00D866EF"/>
    <w:rsid w:val="00D92248"/>
    <w:rsid w:val="00D96355"/>
    <w:rsid w:val="00DB2501"/>
    <w:rsid w:val="00DC694E"/>
    <w:rsid w:val="00DF4C22"/>
    <w:rsid w:val="00DF51A7"/>
    <w:rsid w:val="00DF5674"/>
    <w:rsid w:val="00E01B2E"/>
    <w:rsid w:val="00E01B5E"/>
    <w:rsid w:val="00E05BC0"/>
    <w:rsid w:val="00E25541"/>
    <w:rsid w:val="00E56D15"/>
    <w:rsid w:val="00E63F97"/>
    <w:rsid w:val="00E642C7"/>
    <w:rsid w:val="00E91B20"/>
    <w:rsid w:val="00E94B09"/>
    <w:rsid w:val="00E96B25"/>
    <w:rsid w:val="00EC0101"/>
    <w:rsid w:val="00EC7B30"/>
    <w:rsid w:val="00ED20D5"/>
    <w:rsid w:val="00ED403C"/>
    <w:rsid w:val="00EE3479"/>
    <w:rsid w:val="00F13AFE"/>
    <w:rsid w:val="00F36FAC"/>
    <w:rsid w:val="00F40003"/>
    <w:rsid w:val="00F47AFD"/>
    <w:rsid w:val="00F56BC4"/>
    <w:rsid w:val="00F5717F"/>
    <w:rsid w:val="00F57AAE"/>
    <w:rsid w:val="00F633F1"/>
    <w:rsid w:val="00F65A37"/>
    <w:rsid w:val="00FC2E44"/>
    <w:rsid w:val="00FE3A50"/>
    <w:rsid w:val="0BB53545"/>
    <w:rsid w:val="0CD071A1"/>
    <w:rsid w:val="17240269"/>
    <w:rsid w:val="18277578"/>
    <w:rsid w:val="18BD1C8B"/>
    <w:rsid w:val="197430F7"/>
    <w:rsid w:val="371A1728"/>
    <w:rsid w:val="37964034"/>
    <w:rsid w:val="3D1C6BC8"/>
    <w:rsid w:val="3FD21071"/>
    <w:rsid w:val="473016F6"/>
    <w:rsid w:val="4CB96D7F"/>
    <w:rsid w:val="558E2111"/>
    <w:rsid w:val="6A924697"/>
    <w:rsid w:val="6C5C3403"/>
    <w:rsid w:val="79C85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5F5D6"/>
  <w15:docId w15:val="{F70CDC00-50D4-47A4-86EA-7D742FC0C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character" w:styleId="ac">
    <w:name w:val="page number"/>
    <w:qFormat/>
  </w:style>
  <w:style w:type="character" w:styleId="ad">
    <w:name w:val="annotation reference"/>
    <w:basedOn w:val="a0"/>
    <w:qFormat/>
    <w:rPr>
      <w:sz w:val="21"/>
      <w:szCs w:val="21"/>
    </w:rPr>
  </w:style>
  <w:style w:type="paragraph" w:styleId="ae">
    <w:name w:val="List Paragraph"/>
    <w:basedOn w:val="a"/>
    <w:uiPriority w:val="99"/>
    <w:unhideWhenUsed/>
    <w:qFormat/>
    <w:pPr>
      <w:ind w:firstLineChars="200" w:firstLine="420"/>
    </w:pPr>
  </w:style>
  <w:style w:type="character" w:customStyle="1" w:styleId="a6">
    <w:name w:val="批注框文本 字符"/>
    <w:basedOn w:val="a0"/>
    <w:link w:val="a5"/>
    <w:qFormat/>
    <w:rPr>
      <w:rFonts w:ascii="Calibri" w:eastAsia="宋体" w:hAnsi="Calibri" w:cs="Times New Roman"/>
      <w:kern w:val="2"/>
      <w:sz w:val="18"/>
      <w:szCs w:val="18"/>
    </w:rPr>
  </w:style>
  <w:style w:type="paragraph" w:customStyle="1" w:styleId="1">
    <w:name w:val="修订1"/>
    <w:hidden/>
    <w:uiPriority w:val="99"/>
    <w:semiHidden/>
    <w:qFormat/>
    <w:rPr>
      <w:rFonts w:ascii="Calibri" w:eastAsia="宋体" w:hAnsi="Calibri" w:cs="Times New Roman"/>
      <w:kern w:val="2"/>
      <w:sz w:val="21"/>
      <w:szCs w:val="24"/>
    </w:rPr>
  </w:style>
  <w:style w:type="character" w:customStyle="1" w:styleId="a4">
    <w:name w:val="批注文字 字符"/>
    <w:basedOn w:val="a0"/>
    <w:link w:val="a3"/>
    <w:qFormat/>
    <w:rPr>
      <w:rFonts w:ascii="Calibri" w:eastAsia="宋体" w:hAnsi="Calibri" w:cs="Times New Roman"/>
      <w:kern w:val="2"/>
      <w:sz w:val="21"/>
      <w:szCs w:val="24"/>
    </w:rPr>
  </w:style>
  <w:style w:type="character" w:customStyle="1" w:styleId="ab">
    <w:name w:val="批注主题 字符"/>
    <w:basedOn w:val="a4"/>
    <w:link w:val="aa"/>
    <w:qFormat/>
    <w:rPr>
      <w:rFonts w:ascii="Calibri" w:eastAsia="宋体" w:hAnsi="Calibri" w:cs="Times New Roman"/>
      <w:b/>
      <w:bCs/>
      <w:kern w:val="2"/>
      <w:sz w:val="21"/>
      <w:szCs w:val="24"/>
    </w:rPr>
  </w:style>
  <w:style w:type="character" w:customStyle="1" w:styleId="a9">
    <w:name w:val="页眉 字符"/>
    <w:basedOn w:val="a0"/>
    <w:link w:val="a8"/>
    <w:qFormat/>
    <w:rPr>
      <w:rFonts w:ascii="Calibri" w:eastAsia="宋体" w:hAnsi="Calibri" w:cs="Times New Roman"/>
      <w:kern w:val="2"/>
      <w:sz w:val="18"/>
      <w:szCs w:val="18"/>
    </w:rPr>
  </w:style>
  <w:style w:type="paragraph" w:styleId="af">
    <w:name w:val="Revision"/>
    <w:hidden/>
    <w:uiPriority w:val="99"/>
    <w:unhideWhenUsed/>
    <w:rsid w:val="008F3E2C"/>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1BC2E-A2B1-455B-A6C1-35FD6001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2296</Words>
  <Characters>2296</Characters>
  <Application>Microsoft Office Word</Application>
  <DocSecurity>0</DocSecurity>
  <Lines>120</Lines>
  <Paragraphs>91</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 xia</cp:lastModifiedBy>
  <cp:revision>6</cp:revision>
  <cp:lastPrinted>2023-07-27T08:52:00Z</cp:lastPrinted>
  <dcterms:created xsi:type="dcterms:W3CDTF">2025-06-21T03:14:00Z</dcterms:created>
  <dcterms:modified xsi:type="dcterms:W3CDTF">2025-06-30T15:53:00Z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B65F4420F64A4B07954EC63A376F60D2_13</vt:lpwstr>
  </property>
</Properties>
</file>